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right"/>
        <w:tblInd w:w="5070" w:type="dxa"/>
        <w:tblLook w:val="04A0" w:firstRow="1" w:lastRow="0" w:firstColumn="1" w:lastColumn="0" w:noHBand="0" w:noVBand="1"/>
      </w:tblPr>
      <w:tblGrid>
        <w:gridCol w:w="4501"/>
      </w:tblGrid>
      <w:tr w:rsidR="00DB2968" w:rsidRPr="00BB6A87" w:rsidTr="00FE7975">
        <w:trPr>
          <w:jc w:val="right"/>
        </w:trPr>
        <w:tc>
          <w:tcPr>
            <w:tcW w:w="4501" w:type="dxa"/>
            <w:shd w:val="clear" w:color="auto" w:fill="auto"/>
          </w:tcPr>
          <w:p w:rsidR="00DB2968" w:rsidRPr="00BE4AA6" w:rsidRDefault="00DB2968" w:rsidP="00FE7975">
            <w:pPr>
              <w:spacing w:after="0" w:line="240" w:lineRule="auto"/>
              <w:rPr>
                <w:rFonts w:ascii="Liberation Serif" w:eastAsia="Times New Roman" w:hAnsi="Liberation Serif"/>
                <w:lang w:eastAsia="ru-RU"/>
              </w:rPr>
            </w:pPr>
            <w:r w:rsidRPr="00BE4AA6">
              <w:rPr>
                <w:rFonts w:ascii="Liberation Serif" w:eastAsia="Times New Roman" w:hAnsi="Liberation Serif"/>
                <w:lang w:eastAsia="ru-RU"/>
              </w:rPr>
              <w:t>Утвержден</w:t>
            </w:r>
          </w:p>
          <w:p w:rsidR="00DB2968" w:rsidRPr="00BE4AA6" w:rsidRDefault="00DB2968" w:rsidP="00FE7975">
            <w:pPr>
              <w:spacing w:after="0" w:line="240" w:lineRule="auto"/>
              <w:rPr>
                <w:rFonts w:ascii="Liberation Serif" w:eastAsia="Times New Roman" w:hAnsi="Liberation Serif"/>
                <w:lang w:eastAsia="ru-RU"/>
              </w:rPr>
            </w:pPr>
            <w:r w:rsidRPr="00BE4AA6">
              <w:rPr>
                <w:rFonts w:ascii="Liberation Serif" w:eastAsia="Times New Roman" w:hAnsi="Liberation Serif"/>
                <w:lang w:eastAsia="ru-RU"/>
              </w:rPr>
              <w:t>постановлени</w:t>
            </w:r>
            <w:r>
              <w:rPr>
                <w:rFonts w:ascii="Liberation Serif" w:eastAsia="Times New Roman" w:hAnsi="Liberation Serif"/>
                <w:lang w:eastAsia="ru-RU"/>
              </w:rPr>
              <w:t>ем</w:t>
            </w:r>
            <w:r w:rsidRPr="00BE4AA6">
              <w:rPr>
                <w:rFonts w:ascii="Liberation Serif" w:eastAsia="Times New Roman" w:hAnsi="Liberation Serif"/>
                <w:lang w:eastAsia="ru-RU"/>
              </w:rPr>
              <w:t xml:space="preserve"> Главы</w:t>
            </w:r>
          </w:p>
          <w:p w:rsidR="00DB2968" w:rsidRPr="00BE4AA6" w:rsidRDefault="00DB2968" w:rsidP="00FE7975">
            <w:pPr>
              <w:spacing w:after="0" w:line="240" w:lineRule="auto"/>
              <w:rPr>
                <w:rFonts w:ascii="Liberation Serif" w:eastAsia="Times New Roman" w:hAnsi="Liberation Serif"/>
                <w:lang w:eastAsia="ru-RU"/>
              </w:rPr>
            </w:pPr>
            <w:r w:rsidRPr="00BE4AA6">
              <w:rPr>
                <w:rFonts w:ascii="Liberation Serif" w:eastAsia="Times New Roman" w:hAnsi="Liberation Serif"/>
                <w:lang w:eastAsia="ru-RU"/>
              </w:rPr>
              <w:t>МО «Каменский городской округ»</w:t>
            </w:r>
          </w:p>
          <w:p w:rsidR="00DB2968" w:rsidRPr="0014681D" w:rsidRDefault="00DB2968" w:rsidP="00FE7975">
            <w:pPr>
              <w:tabs>
                <w:tab w:val="left" w:pos="0"/>
              </w:tabs>
              <w:spacing w:after="0" w:line="240" w:lineRule="auto"/>
              <w:rPr>
                <w:rFonts w:ascii="Liberation Serif" w:hAnsi="Liberation Serif"/>
                <w:sz w:val="24"/>
                <w:szCs w:val="24"/>
                <w:u w:val="single"/>
                <w:lang w:eastAsia="ru-RU"/>
              </w:rPr>
            </w:pPr>
            <w:r>
              <w:rPr>
                <w:rFonts w:ascii="Liberation Serif" w:eastAsia="Times New Roman" w:hAnsi="Liberation Serif"/>
                <w:lang w:eastAsia="ru-RU"/>
              </w:rPr>
              <w:t xml:space="preserve">от </w:t>
            </w:r>
            <w:r w:rsidR="0014681D">
              <w:rPr>
                <w:rFonts w:ascii="Liberation Serif" w:eastAsia="Times New Roman" w:hAnsi="Liberation Serif"/>
                <w:u w:val="single"/>
                <w:lang w:eastAsia="ru-RU"/>
              </w:rPr>
              <w:t>27.01.2023</w:t>
            </w:r>
            <w:r w:rsidRPr="00BE4AA6">
              <w:rPr>
                <w:rFonts w:ascii="Liberation Serif" w:eastAsia="Times New Roman" w:hAnsi="Liberation Serif"/>
                <w:lang w:eastAsia="ru-RU"/>
              </w:rPr>
              <w:t xml:space="preserve"> № </w:t>
            </w:r>
            <w:r w:rsidR="0014681D">
              <w:rPr>
                <w:rFonts w:ascii="Liberation Serif" w:eastAsia="Times New Roman" w:hAnsi="Liberation Serif"/>
                <w:u w:val="single"/>
                <w:lang w:eastAsia="ru-RU"/>
              </w:rPr>
              <w:t>126</w:t>
            </w:r>
            <w:bookmarkStart w:id="0" w:name="_GoBack"/>
            <w:bookmarkEnd w:id="0"/>
          </w:p>
          <w:p w:rsidR="00DB2968" w:rsidRPr="003A4CF3" w:rsidRDefault="00DB2968" w:rsidP="00FE7975">
            <w:pPr>
              <w:tabs>
                <w:tab w:val="left" w:pos="0"/>
              </w:tabs>
              <w:spacing w:after="0" w:line="240" w:lineRule="auto"/>
              <w:rPr>
                <w:rFonts w:ascii="Liberation Serif" w:hAnsi="Liberation Serif"/>
                <w:sz w:val="20"/>
                <w:szCs w:val="20"/>
                <w:lang w:eastAsia="ru-RU"/>
              </w:rPr>
            </w:pPr>
            <w:r w:rsidRPr="003A4CF3">
              <w:rPr>
                <w:rFonts w:ascii="Liberation Serif" w:hAnsi="Liberation Serif"/>
                <w:sz w:val="20"/>
                <w:szCs w:val="20"/>
                <w:lang w:eastAsia="ru-RU"/>
              </w:rPr>
              <w:t>«</w:t>
            </w:r>
            <w:r w:rsidRPr="00A90736">
              <w:rPr>
                <w:rFonts w:ascii="Liberation Serif" w:hAnsi="Liberation Serif"/>
                <w:sz w:val="20"/>
                <w:szCs w:val="20"/>
                <w:lang w:eastAsia="ru-RU"/>
              </w:rPr>
              <w:t>Об утверждении реестра (карты) коррупционных рисков, возникающих при осуществлении закупок, плана (реестра) мер, направленных на минимизацию коррупционных рисков, возникающих при осуществлении закупок Думой Каменского городского округа, Контрольным органом Каменского городского округа, Администрацией Каменского городского округа, отраслевыми (функциональными) и территориальными органами Администрации Каменского городского округа и подведомственными им казенными и бюджетными учреждениями, градации степени выраженности параметров «вероятность реализации» и «возможный вред»  коррупционных рисков при осуществлении закупок для нужд Думы Каменского городского округа, Контрольного органа Каменского городского округа, Администрации Каменского городского округа, отраслевых (функциональных) и территориальных органов Администрации Каменского городского округа и подведомственных им казенных и бюджетных учреждений</w:t>
            </w:r>
            <w:r w:rsidRPr="003A4CF3">
              <w:rPr>
                <w:rFonts w:ascii="Liberation Serif" w:hAnsi="Liberation Serif"/>
                <w:sz w:val="20"/>
                <w:szCs w:val="20"/>
                <w:lang w:eastAsia="ru-RU"/>
              </w:rPr>
              <w:t>»</w:t>
            </w:r>
          </w:p>
        </w:tc>
      </w:tr>
      <w:tr w:rsidR="00DB2968" w:rsidRPr="00BB6A87" w:rsidTr="00FE7975">
        <w:trPr>
          <w:jc w:val="right"/>
        </w:trPr>
        <w:tc>
          <w:tcPr>
            <w:tcW w:w="4501" w:type="dxa"/>
            <w:shd w:val="clear" w:color="auto" w:fill="auto"/>
          </w:tcPr>
          <w:p w:rsidR="00DB2968" w:rsidRPr="00BB6A87" w:rsidRDefault="00DB2968" w:rsidP="00FE7975">
            <w:pPr>
              <w:tabs>
                <w:tab w:val="left" w:pos="0"/>
              </w:tabs>
              <w:spacing w:after="0" w:line="240" w:lineRule="auto"/>
              <w:rPr>
                <w:rFonts w:ascii="Liberation Serif" w:hAnsi="Liberation Serif"/>
                <w:lang w:eastAsia="ru-RU"/>
              </w:rPr>
            </w:pPr>
          </w:p>
        </w:tc>
      </w:tr>
    </w:tbl>
    <w:p w:rsidR="00DB2968" w:rsidRPr="003A4CF3" w:rsidRDefault="00DB2968" w:rsidP="00DB2968">
      <w:pPr>
        <w:widowControl w:val="0"/>
        <w:tabs>
          <w:tab w:val="left" w:pos="4140"/>
          <w:tab w:val="left" w:pos="4253"/>
          <w:tab w:val="left" w:pos="14601"/>
        </w:tabs>
        <w:spacing w:after="0" w:line="240" w:lineRule="auto"/>
        <w:ind w:right="-31"/>
        <w:jc w:val="center"/>
        <w:rPr>
          <w:rFonts w:ascii="Liberation Serif" w:eastAsia="Times New Roman" w:hAnsi="Liberation Serif"/>
          <w:b/>
          <w:sz w:val="20"/>
          <w:szCs w:val="20"/>
          <w:lang w:eastAsia="ru-RU"/>
        </w:rPr>
      </w:pPr>
      <w:r w:rsidRPr="003A4CF3">
        <w:rPr>
          <w:rFonts w:ascii="Liberation Serif" w:eastAsia="Times New Roman" w:hAnsi="Liberation Serif"/>
          <w:b/>
          <w:sz w:val="20"/>
          <w:szCs w:val="20"/>
          <w:lang w:eastAsia="ru-RU"/>
        </w:rPr>
        <w:t>План (реестр) мер, направленных на минимизацию, коррупционных рисков,</w:t>
      </w:r>
    </w:p>
    <w:p w:rsidR="00DB2968" w:rsidRDefault="00DB2968" w:rsidP="00DB2968">
      <w:pPr>
        <w:autoSpaceDE w:val="0"/>
        <w:autoSpaceDN w:val="0"/>
        <w:adjustRightInd w:val="0"/>
        <w:spacing w:after="0" w:line="240" w:lineRule="auto"/>
        <w:jc w:val="center"/>
        <w:outlineLvl w:val="0"/>
        <w:rPr>
          <w:rFonts w:ascii="Liberation Serif" w:eastAsia="Times New Roman" w:hAnsi="Liberation Serif"/>
          <w:b/>
          <w:sz w:val="20"/>
          <w:szCs w:val="20"/>
          <w:lang w:eastAsia="ru-RU"/>
        </w:rPr>
      </w:pPr>
      <w:r w:rsidRPr="00366D59">
        <w:rPr>
          <w:rFonts w:ascii="Liberation Serif" w:eastAsia="Times New Roman" w:hAnsi="Liberation Serif"/>
          <w:b/>
          <w:sz w:val="20"/>
          <w:szCs w:val="20"/>
          <w:lang w:eastAsia="ru-RU"/>
        </w:rPr>
        <w:t>возникающих при осуществлении закупок Думой Каменского городского округа, Контрольным органом Каменского городского округа, Администрацией Каменского городского округа, отраслевыми (функциональными) и территориальными органами Администрации Каменского городского округа и подведомственными им казенными и бюджетными учреждениями</w:t>
      </w:r>
    </w:p>
    <w:p w:rsidR="00DB2968" w:rsidRPr="003A4CF3" w:rsidRDefault="00DB2968" w:rsidP="00DB2968">
      <w:pPr>
        <w:autoSpaceDE w:val="0"/>
        <w:autoSpaceDN w:val="0"/>
        <w:adjustRightInd w:val="0"/>
        <w:spacing w:after="0" w:line="240" w:lineRule="auto"/>
        <w:jc w:val="center"/>
        <w:outlineLvl w:val="0"/>
        <w:rPr>
          <w:rFonts w:ascii="Liberation Serif" w:hAnsi="Liberation Serif" w:cs="Liberation Serif"/>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2840"/>
        <w:gridCol w:w="3969"/>
        <w:gridCol w:w="1701"/>
        <w:gridCol w:w="3261"/>
        <w:gridCol w:w="2126"/>
      </w:tblGrid>
      <w:tr w:rsidR="00DB2968" w:rsidRPr="003A4CF3" w:rsidTr="00FE7975">
        <w:tc>
          <w:tcPr>
            <w:tcW w:w="624" w:type="dxa"/>
            <w:tcBorders>
              <w:top w:val="single" w:sz="4" w:space="0" w:color="auto"/>
              <w:left w:val="single" w:sz="4" w:space="0" w:color="auto"/>
              <w:bottom w:val="single" w:sz="4" w:space="0" w:color="auto"/>
              <w:right w:val="single" w:sz="4" w:space="0" w:color="auto"/>
            </w:tcBorders>
          </w:tcPr>
          <w:p w:rsidR="00DB2968" w:rsidRPr="003A4CF3" w:rsidRDefault="00DB2968" w:rsidP="008068F6">
            <w:pPr>
              <w:autoSpaceDE w:val="0"/>
              <w:autoSpaceDN w:val="0"/>
              <w:adjustRightInd w:val="0"/>
              <w:spacing w:after="0" w:line="240" w:lineRule="auto"/>
              <w:jc w:val="center"/>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N п/п</w:t>
            </w:r>
          </w:p>
        </w:tc>
        <w:tc>
          <w:tcPr>
            <w:tcW w:w="2840" w:type="dxa"/>
            <w:tcBorders>
              <w:top w:val="single" w:sz="4" w:space="0" w:color="auto"/>
              <w:left w:val="single" w:sz="4" w:space="0" w:color="auto"/>
              <w:bottom w:val="single" w:sz="4" w:space="0" w:color="auto"/>
              <w:right w:val="single" w:sz="4" w:space="0" w:color="auto"/>
            </w:tcBorders>
          </w:tcPr>
          <w:p w:rsidR="00DB2968" w:rsidRPr="003A4CF3" w:rsidRDefault="00DB2968" w:rsidP="008068F6">
            <w:pPr>
              <w:autoSpaceDE w:val="0"/>
              <w:autoSpaceDN w:val="0"/>
              <w:adjustRightInd w:val="0"/>
              <w:spacing w:after="0" w:line="240" w:lineRule="auto"/>
              <w:jc w:val="center"/>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Наименование меры по минимизации коррупционных рисков</w:t>
            </w:r>
          </w:p>
        </w:tc>
        <w:tc>
          <w:tcPr>
            <w:tcW w:w="3969" w:type="dxa"/>
            <w:tcBorders>
              <w:top w:val="single" w:sz="4" w:space="0" w:color="auto"/>
              <w:left w:val="single" w:sz="4" w:space="0" w:color="auto"/>
              <w:bottom w:val="single" w:sz="4" w:space="0" w:color="auto"/>
              <w:right w:val="single" w:sz="4" w:space="0" w:color="auto"/>
            </w:tcBorders>
          </w:tcPr>
          <w:p w:rsidR="00DB2968" w:rsidRPr="003A4CF3" w:rsidRDefault="00DB2968" w:rsidP="008068F6">
            <w:pPr>
              <w:autoSpaceDE w:val="0"/>
              <w:autoSpaceDN w:val="0"/>
              <w:adjustRightInd w:val="0"/>
              <w:spacing w:after="0" w:line="240" w:lineRule="auto"/>
              <w:jc w:val="center"/>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Краткое наименование минимизируемого коррупционного риска</w:t>
            </w:r>
          </w:p>
        </w:tc>
        <w:tc>
          <w:tcPr>
            <w:tcW w:w="1701" w:type="dxa"/>
            <w:tcBorders>
              <w:top w:val="single" w:sz="4" w:space="0" w:color="auto"/>
              <w:left w:val="single" w:sz="4" w:space="0" w:color="auto"/>
              <w:bottom w:val="single" w:sz="4" w:space="0" w:color="auto"/>
              <w:right w:val="single" w:sz="4" w:space="0" w:color="auto"/>
            </w:tcBorders>
          </w:tcPr>
          <w:p w:rsidR="00DB2968" w:rsidRPr="003A4CF3" w:rsidRDefault="00DB2968" w:rsidP="008068F6">
            <w:pPr>
              <w:autoSpaceDE w:val="0"/>
              <w:autoSpaceDN w:val="0"/>
              <w:adjustRightInd w:val="0"/>
              <w:spacing w:after="0" w:line="240" w:lineRule="auto"/>
              <w:jc w:val="center"/>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Срок (периодичность) реализации</w:t>
            </w:r>
          </w:p>
        </w:tc>
        <w:tc>
          <w:tcPr>
            <w:tcW w:w="3261" w:type="dxa"/>
            <w:tcBorders>
              <w:top w:val="single" w:sz="4" w:space="0" w:color="auto"/>
              <w:left w:val="single" w:sz="4" w:space="0" w:color="auto"/>
              <w:bottom w:val="single" w:sz="4" w:space="0" w:color="auto"/>
              <w:right w:val="single" w:sz="4" w:space="0" w:color="auto"/>
            </w:tcBorders>
          </w:tcPr>
          <w:p w:rsidR="00DB2968" w:rsidRPr="003A4CF3" w:rsidRDefault="00DB2968" w:rsidP="008068F6">
            <w:pPr>
              <w:autoSpaceDE w:val="0"/>
              <w:autoSpaceDN w:val="0"/>
              <w:adjustRightInd w:val="0"/>
              <w:spacing w:after="0" w:line="240" w:lineRule="auto"/>
              <w:jc w:val="center"/>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Ответственный за реализацию служащий (работник)</w:t>
            </w:r>
          </w:p>
        </w:tc>
        <w:tc>
          <w:tcPr>
            <w:tcW w:w="2126" w:type="dxa"/>
            <w:tcBorders>
              <w:top w:val="single" w:sz="4" w:space="0" w:color="auto"/>
              <w:left w:val="single" w:sz="4" w:space="0" w:color="auto"/>
              <w:bottom w:val="single" w:sz="4" w:space="0" w:color="auto"/>
              <w:right w:val="single" w:sz="4" w:space="0" w:color="auto"/>
            </w:tcBorders>
          </w:tcPr>
          <w:p w:rsidR="00DB2968" w:rsidRPr="003A4CF3" w:rsidRDefault="00DB2968" w:rsidP="008068F6">
            <w:pPr>
              <w:autoSpaceDE w:val="0"/>
              <w:autoSpaceDN w:val="0"/>
              <w:adjustRightInd w:val="0"/>
              <w:spacing w:after="0" w:line="240" w:lineRule="auto"/>
              <w:jc w:val="center"/>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Планируемый результат</w:t>
            </w:r>
          </w:p>
        </w:tc>
      </w:tr>
      <w:tr w:rsidR="00084E7F" w:rsidRPr="003A4CF3" w:rsidTr="00FE7975">
        <w:tc>
          <w:tcPr>
            <w:tcW w:w="624"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lastRenderedPageBreak/>
              <w:t>1.</w:t>
            </w:r>
          </w:p>
        </w:tc>
        <w:tc>
          <w:tcPr>
            <w:tcW w:w="2840" w:type="dxa"/>
            <w:tcBorders>
              <w:top w:val="single" w:sz="4" w:space="0" w:color="auto"/>
              <w:left w:val="single" w:sz="4" w:space="0" w:color="auto"/>
              <w:bottom w:val="single" w:sz="4" w:space="0" w:color="auto"/>
              <w:right w:val="single" w:sz="4" w:space="0" w:color="auto"/>
            </w:tcBorders>
          </w:tcPr>
          <w:p w:rsidR="00084E7F" w:rsidRPr="00625EF5" w:rsidRDefault="00084E7F" w:rsidP="008068F6">
            <w:pPr>
              <w:pStyle w:val="ConsPlusNormal"/>
              <w:rPr>
                <w:rFonts w:ascii="Liberation Serif" w:hAnsi="Liberation Serif"/>
                <w:sz w:val="20"/>
                <w:szCs w:val="20"/>
              </w:rPr>
            </w:pPr>
            <w:r w:rsidRPr="00625EF5">
              <w:rPr>
                <w:rFonts w:ascii="Liberation Serif" w:hAnsi="Liberation Serif"/>
                <w:sz w:val="20"/>
                <w:szCs w:val="20"/>
              </w:rPr>
              <w:t xml:space="preserve">Недопущение планирования закупок, не относящихся к целям деятельности. Недопущение планирования закупок с нарушением требований о нормировании в сфере закупок. </w:t>
            </w:r>
          </w:p>
          <w:p w:rsidR="00084E7F" w:rsidRPr="00625EF5" w:rsidRDefault="00084E7F" w:rsidP="008068F6">
            <w:pPr>
              <w:pStyle w:val="ConsPlusNormal"/>
              <w:rPr>
                <w:rFonts w:ascii="Liberation Serif" w:hAnsi="Liberation Serif"/>
                <w:sz w:val="20"/>
                <w:szCs w:val="20"/>
              </w:rPr>
            </w:pPr>
          </w:p>
        </w:tc>
        <w:tc>
          <w:tcPr>
            <w:tcW w:w="3969" w:type="dxa"/>
            <w:tcBorders>
              <w:top w:val="single" w:sz="4" w:space="0" w:color="auto"/>
              <w:left w:val="single" w:sz="4" w:space="0" w:color="auto"/>
              <w:bottom w:val="single" w:sz="4" w:space="0" w:color="auto"/>
              <w:right w:val="single" w:sz="4" w:space="0" w:color="auto"/>
            </w:tcBorders>
          </w:tcPr>
          <w:p w:rsidR="00084E7F" w:rsidRPr="00625EF5" w:rsidRDefault="00084E7F" w:rsidP="008068F6">
            <w:pPr>
              <w:pStyle w:val="ConsPlusNormal"/>
              <w:rPr>
                <w:rFonts w:ascii="Liberation Serif" w:hAnsi="Liberation Serif"/>
                <w:sz w:val="20"/>
                <w:szCs w:val="20"/>
              </w:rPr>
            </w:pPr>
            <w:r w:rsidRPr="00625EF5">
              <w:rPr>
                <w:rFonts w:ascii="Liberation Serif" w:hAnsi="Liberation Serif"/>
                <w:sz w:val="20"/>
                <w:szCs w:val="20"/>
              </w:rPr>
              <w:t>Планирование закупок, не относящихся к целям деятельности.</w:t>
            </w:r>
          </w:p>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625EF5">
              <w:rPr>
                <w:rFonts w:ascii="Liberation Serif" w:hAnsi="Liberation Serif"/>
                <w:sz w:val="20"/>
                <w:szCs w:val="20"/>
              </w:rPr>
              <w:t>Нарушение требований о нормировании в сфере закупок.</w:t>
            </w:r>
          </w:p>
        </w:tc>
        <w:tc>
          <w:tcPr>
            <w:tcW w:w="1701"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jc w:val="center"/>
              <w:rPr>
                <w:rFonts w:ascii="Liberation Serif" w:hAnsi="Liberation Serif" w:cs="Liberation Serif"/>
                <w:sz w:val="20"/>
                <w:szCs w:val="20"/>
                <w:lang w:eastAsia="ru-RU"/>
              </w:rPr>
            </w:pPr>
            <w:r>
              <w:rPr>
                <w:rFonts w:ascii="Liberation Serif" w:hAnsi="Liberation Serif" w:cs="Liberation Serif"/>
                <w:sz w:val="20"/>
                <w:szCs w:val="20"/>
                <w:lang w:eastAsia="ru-RU"/>
              </w:rPr>
              <w:t>Постоянно</w:t>
            </w:r>
          </w:p>
        </w:tc>
        <w:tc>
          <w:tcPr>
            <w:tcW w:w="3261" w:type="dxa"/>
            <w:tcBorders>
              <w:top w:val="single" w:sz="4" w:space="0" w:color="auto"/>
              <w:left w:val="single" w:sz="4" w:space="0" w:color="auto"/>
              <w:bottom w:val="single" w:sz="4" w:space="0" w:color="auto"/>
              <w:right w:val="single" w:sz="4" w:space="0" w:color="auto"/>
            </w:tcBorders>
          </w:tcPr>
          <w:p w:rsidR="00084E7F" w:rsidRPr="00625EF5" w:rsidRDefault="00084E7F" w:rsidP="008068F6">
            <w:pPr>
              <w:autoSpaceDE w:val="0"/>
              <w:autoSpaceDN w:val="0"/>
              <w:adjustRightInd w:val="0"/>
              <w:spacing w:after="0" w:line="240" w:lineRule="auto"/>
              <w:jc w:val="both"/>
              <w:rPr>
                <w:rFonts w:ascii="Liberation Serif" w:hAnsi="Liberation Serif" w:cs="Liberation Serif"/>
                <w:sz w:val="20"/>
                <w:szCs w:val="20"/>
                <w:lang w:eastAsia="ru-RU"/>
              </w:rPr>
            </w:pPr>
            <w:r w:rsidRPr="00625EF5">
              <w:rPr>
                <w:rFonts w:ascii="Liberation Serif" w:hAnsi="Liberation Serif" w:cs="Liberation Serif"/>
                <w:sz w:val="20"/>
                <w:szCs w:val="20"/>
                <w:lang w:eastAsia="ru-RU"/>
              </w:rPr>
              <w:t>Руководитель контрактной службы (контрактный управляющий).</w:t>
            </w:r>
          </w:p>
          <w:p w:rsidR="00084E7F" w:rsidRPr="00625EF5" w:rsidRDefault="00084E7F" w:rsidP="008068F6">
            <w:pPr>
              <w:autoSpaceDE w:val="0"/>
              <w:autoSpaceDN w:val="0"/>
              <w:adjustRightInd w:val="0"/>
              <w:spacing w:after="0" w:line="240" w:lineRule="auto"/>
              <w:jc w:val="both"/>
              <w:rPr>
                <w:rFonts w:ascii="Liberation Serif" w:hAnsi="Liberation Serif" w:cs="Liberation Serif"/>
                <w:sz w:val="20"/>
                <w:szCs w:val="20"/>
                <w:lang w:eastAsia="ru-RU"/>
              </w:rPr>
            </w:pPr>
            <w:r w:rsidRPr="00625EF5">
              <w:rPr>
                <w:rFonts w:ascii="Liberation Serif" w:hAnsi="Liberation Serif" w:cs="Liberation Serif"/>
                <w:sz w:val="20"/>
                <w:szCs w:val="20"/>
                <w:lang w:eastAsia="ru-RU"/>
              </w:rPr>
              <w:t>Специалисты контрактной службы.</w:t>
            </w:r>
          </w:p>
          <w:p w:rsidR="00084E7F" w:rsidRPr="00625EF5" w:rsidRDefault="00084E7F" w:rsidP="008068F6">
            <w:pPr>
              <w:pStyle w:val="ConsPlusNormal"/>
              <w:rPr>
                <w:rFonts w:ascii="Liberation Serif" w:hAnsi="Liberation Serif"/>
                <w:sz w:val="20"/>
                <w:szCs w:val="20"/>
              </w:rPr>
            </w:pPr>
            <w:r w:rsidRPr="00625EF5">
              <w:rPr>
                <w:rFonts w:ascii="Liberation Serif" w:hAnsi="Liberation Serif" w:cs="Liberation Serif"/>
                <w:sz w:val="20"/>
                <w:szCs w:val="20"/>
              </w:rPr>
              <w:t>Уполномоченный орган.</w:t>
            </w:r>
          </w:p>
        </w:tc>
        <w:tc>
          <w:tcPr>
            <w:tcW w:w="2126"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jc w:val="center"/>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Минимизация коррупционных рисков</w:t>
            </w:r>
          </w:p>
        </w:tc>
      </w:tr>
      <w:tr w:rsidR="00084E7F" w:rsidRPr="003A4CF3" w:rsidTr="00FE7975">
        <w:tc>
          <w:tcPr>
            <w:tcW w:w="624"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2.</w:t>
            </w:r>
          </w:p>
        </w:tc>
        <w:tc>
          <w:tcPr>
            <w:tcW w:w="2840"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Повышение квалификации специалистов, осуществляющих разработку и составление технического задания. Использование типовых описаний объекта закупки.</w:t>
            </w:r>
            <w:r w:rsidRPr="003A4CF3">
              <w:rPr>
                <w:rFonts w:ascii="Liberation Serif" w:hAnsi="Liberation Serif"/>
                <w:sz w:val="20"/>
                <w:szCs w:val="20"/>
              </w:rPr>
              <w:t xml:space="preserve"> </w:t>
            </w:r>
            <w:r w:rsidR="00E326A2" w:rsidRPr="00E326A2">
              <w:rPr>
                <w:rFonts w:ascii="Liberation Serif" w:hAnsi="Liberation Serif" w:cs="Liberation Serif"/>
                <w:sz w:val="20"/>
                <w:szCs w:val="20"/>
                <w:lang w:eastAsia="ru-RU"/>
              </w:rPr>
              <w:t>Применение Каталога товаров, работ, услуг и ст. 33 Закона о контрактной системе № 44-ФЗ.</w:t>
            </w:r>
          </w:p>
        </w:tc>
        <w:tc>
          <w:tcPr>
            <w:tcW w:w="3969"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Необоснованное расширение (ограничение) круга возможных участников закупок посредством расширения (сужения) круга лиц, удовлетворяющих потребностям заказчика. Предварительный сговор с участниками закупки при описании объекта закупки.</w:t>
            </w:r>
          </w:p>
        </w:tc>
        <w:tc>
          <w:tcPr>
            <w:tcW w:w="1701"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jc w:val="center"/>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Постоянно</w:t>
            </w:r>
          </w:p>
        </w:tc>
        <w:tc>
          <w:tcPr>
            <w:tcW w:w="3261"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Специалисты, отвечающие за разработку технического задания (описания объекта закупки).</w:t>
            </w:r>
          </w:p>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Специалисты контрактной службы.</w:t>
            </w:r>
          </w:p>
        </w:tc>
        <w:tc>
          <w:tcPr>
            <w:tcW w:w="2126"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Минимизация коррупционных рисков</w:t>
            </w:r>
          </w:p>
        </w:tc>
      </w:tr>
      <w:tr w:rsidR="00084E7F" w:rsidRPr="003A4CF3" w:rsidTr="00FE7975">
        <w:tc>
          <w:tcPr>
            <w:tcW w:w="624"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3.</w:t>
            </w:r>
          </w:p>
        </w:tc>
        <w:tc>
          <w:tcPr>
            <w:tcW w:w="2840"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Проведение мониторинга цен на товары, работы, услуги в целях недопущения завышения (занижения) начальных (максимальных) цен контрактов при осуществлении закупок</w:t>
            </w:r>
          </w:p>
        </w:tc>
        <w:tc>
          <w:tcPr>
            <w:tcW w:w="3969"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Необоснованно завышена (занижена) начальная (максимальная) цена контракта.</w:t>
            </w:r>
          </w:p>
        </w:tc>
        <w:tc>
          <w:tcPr>
            <w:tcW w:w="1701"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jc w:val="center"/>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Постоянно</w:t>
            </w:r>
          </w:p>
        </w:tc>
        <w:tc>
          <w:tcPr>
            <w:tcW w:w="3261" w:type="dxa"/>
            <w:tcBorders>
              <w:top w:val="single" w:sz="4" w:space="0" w:color="auto"/>
              <w:left w:val="single" w:sz="4" w:space="0" w:color="auto"/>
              <w:bottom w:val="single" w:sz="4" w:space="0" w:color="auto"/>
              <w:right w:val="single" w:sz="4" w:space="0" w:color="auto"/>
            </w:tcBorders>
          </w:tcPr>
          <w:p w:rsidR="00084E7F"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985BC2">
              <w:rPr>
                <w:rFonts w:ascii="Liberation Serif" w:hAnsi="Liberation Serif" w:cs="Liberation Serif"/>
                <w:sz w:val="20"/>
                <w:szCs w:val="20"/>
                <w:lang w:eastAsia="ru-RU"/>
              </w:rPr>
              <w:t>Контрактный управляющий</w:t>
            </w:r>
          </w:p>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Специалисты контрактной службы</w:t>
            </w:r>
          </w:p>
        </w:tc>
        <w:tc>
          <w:tcPr>
            <w:tcW w:w="2126"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Минимизация коррупционных рисков</w:t>
            </w:r>
          </w:p>
        </w:tc>
      </w:tr>
      <w:tr w:rsidR="00084E7F" w:rsidRPr="003A4CF3" w:rsidTr="00FE7975">
        <w:tc>
          <w:tcPr>
            <w:tcW w:w="624"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4.</w:t>
            </w:r>
          </w:p>
        </w:tc>
        <w:tc>
          <w:tcPr>
            <w:tcW w:w="2840"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Внедрение системы эффективного планирования закупок.</w:t>
            </w:r>
          </w:p>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 xml:space="preserve">Проведение мониторинга на предмет выявления неоднократных закупок однородных товаров, работ, услуг. </w:t>
            </w:r>
          </w:p>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Обоснование заказчиком способа определения поставщика.</w:t>
            </w:r>
          </w:p>
        </w:tc>
        <w:tc>
          <w:tcPr>
            <w:tcW w:w="3969"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Необоснованное, неоднократное  заключение контракта с единственным поставщиком (подрядчиком, исполнителем) без проведения конкурентных процедур в нарушение  требований ч.1 ст. 93 Федерального закона № 44-ФЗ.</w:t>
            </w:r>
          </w:p>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Искусственное дробление закупок на несколько отдельных, с целью упрощения способа закупки.</w:t>
            </w:r>
          </w:p>
        </w:tc>
        <w:tc>
          <w:tcPr>
            <w:tcW w:w="1701"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jc w:val="center"/>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Постоянно</w:t>
            </w:r>
          </w:p>
        </w:tc>
        <w:tc>
          <w:tcPr>
            <w:tcW w:w="3261"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Руководитель контрактной службы (контрактный управляющий).</w:t>
            </w:r>
          </w:p>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Специалисты, отвечающие за разработку технического задания (описания объекта закупки).</w:t>
            </w:r>
          </w:p>
        </w:tc>
        <w:tc>
          <w:tcPr>
            <w:tcW w:w="2126"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Минимизация коррупционных рисков</w:t>
            </w:r>
          </w:p>
        </w:tc>
      </w:tr>
      <w:tr w:rsidR="00084E7F" w:rsidRPr="003A4CF3" w:rsidTr="00FE7975">
        <w:tc>
          <w:tcPr>
            <w:tcW w:w="624"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lastRenderedPageBreak/>
              <w:t>5.</w:t>
            </w:r>
          </w:p>
        </w:tc>
        <w:tc>
          <w:tcPr>
            <w:tcW w:w="2840"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Запрет на умышленное, неправомерное включение в документацию о закупках условий, ограничивающих конкуренцию</w:t>
            </w:r>
          </w:p>
        </w:tc>
        <w:tc>
          <w:tcPr>
            <w:tcW w:w="3969"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 xml:space="preserve">Установление необоснованных преимуществ для отдельных лиц при осуществлении закупок товаров, работ, услуг. Разночтение извещения с документацией. Противоречивость объекта закупки, условий исполнения контракта, условий приемки объекта закупки, гарантийных условий. </w:t>
            </w:r>
          </w:p>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Объединение в одну закупку разных объектов закупки. Включение в извещение, документацию требований о поставке товаров, выполнении работ, оказании услуг, ограничивающих участие других лиц.</w:t>
            </w:r>
          </w:p>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 xml:space="preserve"> Предварительный сговор с участниками закупки.</w:t>
            </w:r>
          </w:p>
        </w:tc>
        <w:tc>
          <w:tcPr>
            <w:tcW w:w="1701"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jc w:val="center"/>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Постоянно</w:t>
            </w:r>
          </w:p>
        </w:tc>
        <w:tc>
          <w:tcPr>
            <w:tcW w:w="3261"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Руководитель контрактной службы (контрактный управляющий).</w:t>
            </w:r>
          </w:p>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Специалисты контрактной службы.</w:t>
            </w:r>
          </w:p>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Уполномоченный орган.</w:t>
            </w:r>
          </w:p>
        </w:tc>
        <w:tc>
          <w:tcPr>
            <w:tcW w:w="2126"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Минимизация коррупционных рисков</w:t>
            </w:r>
          </w:p>
        </w:tc>
      </w:tr>
      <w:tr w:rsidR="00084E7F" w:rsidRPr="003A4CF3" w:rsidTr="00FE7975">
        <w:tc>
          <w:tcPr>
            <w:tcW w:w="624"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6.</w:t>
            </w:r>
          </w:p>
        </w:tc>
        <w:tc>
          <w:tcPr>
            <w:tcW w:w="2840" w:type="dxa"/>
            <w:tcBorders>
              <w:top w:val="single" w:sz="4" w:space="0" w:color="auto"/>
              <w:left w:val="single" w:sz="4" w:space="0" w:color="auto"/>
              <w:bottom w:val="single" w:sz="4" w:space="0" w:color="auto"/>
              <w:right w:val="single" w:sz="4" w:space="0" w:color="auto"/>
            </w:tcBorders>
          </w:tcPr>
          <w:p w:rsidR="00084E7F" w:rsidRPr="009A4AE8"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9A4AE8">
              <w:rPr>
                <w:rFonts w:ascii="Liberation Serif" w:hAnsi="Liberation Serif" w:cs="Liberation Serif"/>
                <w:sz w:val="20"/>
                <w:szCs w:val="20"/>
                <w:lang w:eastAsia="ru-RU"/>
              </w:rPr>
              <w:t xml:space="preserve">Нормативное закрепление порядка уведомления о возникновении личной заинтересованности и  принятия мер по предотвращению и урегулированию конфликта интересов. </w:t>
            </w:r>
          </w:p>
          <w:p w:rsidR="00084E7F" w:rsidRPr="009A4AE8" w:rsidRDefault="00084E7F" w:rsidP="008068F6">
            <w:pPr>
              <w:autoSpaceDE w:val="0"/>
              <w:autoSpaceDN w:val="0"/>
              <w:adjustRightInd w:val="0"/>
              <w:spacing w:after="0" w:line="240" w:lineRule="auto"/>
              <w:rPr>
                <w:rFonts w:ascii="Liberation Serif" w:hAnsi="Liberation Serif" w:cs="Liberation Serif"/>
                <w:sz w:val="20"/>
                <w:szCs w:val="20"/>
                <w:lang w:eastAsia="ru-RU"/>
              </w:rPr>
            </w:pPr>
          </w:p>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9A4AE8">
              <w:rPr>
                <w:rFonts w:ascii="Liberation Serif" w:hAnsi="Liberation Serif" w:cs="Liberation Serif"/>
                <w:sz w:val="20"/>
                <w:szCs w:val="20"/>
                <w:lang w:eastAsia="ru-RU"/>
              </w:rPr>
              <w:t>Ознакомление лиц, участвующих в осуществлении закупки с нормативными правовыми актами, регулирующими вопросы профилактики и противодействия коррупции, а также информирование о мерах юридической ответственности за совершение коррупционных правонарушений.</w:t>
            </w:r>
          </w:p>
        </w:tc>
        <w:tc>
          <w:tcPr>
            <w:tcW w:w="3969" w:type="dxa"/>
            <w:tcBorders>
              <w:top w:val="single" w:sz="4" w:space="0" w:color="auto"/>
              <w:left w:val="single" w:sz="4" w:space="0" w:color="auto"/>
              <w:bottom w:val="single" w:sz="4" w:space="0" w:color="auto"/>
              <w:right w:val="single" w:sz="4" w:space="0" w:color="auto"/>
            </w:tcBorders>
          </w:tcPr>
          <w:p w:rsidR="00084E7F" w:rsidRPr="00084E7F"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084E7F">
              <w:rPr>
                <w:rFonts w:ascii="Liberation Serif" w:hAnsi="Liberation Serif" w:cs="Liberation Serif"/>
                <w:sz w:val="20"/>
                <w:szCs w:val="20"/>
                <w:lang w:eastAsia="ru-RU"/>
              </w:rPr>
              <w:t>Планирование закупок, не относящихся к целям деятельности.</w:t>
            </w:r>
          </w:p>
          <w:p w:rsidR="00084E7F"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084E7F">
              <w:rPr>
                <w:rFonts w:ascii="Liberation Serif" w:hAnsi="Liberation Serif" w:cs="Liberation Serif"/>
                <w:sz w:val="20"/>
                <w:szCs w:val="20"/>
                <w:lang w:eastAsia="ru-RU"/>
              </w:rPr>
              <w:t>Нарушение требований о нормировании в сфере закупок.</w:t>
            </w:r>
          </w:p>
          <w:p w:rsidR="00084E7F" w:rsidRDefault="00084E7F" w:rsidP="008068F6">
            <w:pPr>
              <w:autoSpaceDE w:val="0"/>
              <w:autoSpaceDN w:val="0"/>
              <w:adjustRightInd w:val="0"/>
              <w:spacing w:after="0" w:line="240" w:lineRule="auto"/>
              <w:rPr>
                <w:rFonts w:ascii="Liberation Serif" w:hAnsi="Liberation Serif" w:cs="Liberation Serif"/>
                <w:sz w:val="20"/>
                <w:szCs w:val="20"/>
                <w:lang w:eastAsia="ru-RU"/>
              </w:rPr>
            </w:pPr>
          </w:p>
          <w:p w:rsidR="00084E7F" w:rsidRPr="00FB1A89" w:rsidRDefault="00084E7F" w:rsidP="008068F6">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Предоставление неполной или недо</w:t>
            </w:r>
            <w:r>
              <w:rPr>
                <w:rFonts w:ascii="Liberation Serif" w:hAnsi="Liberation Serif" w:cs="Liberation Serif"/>
                <w:sz w:val="20"/>
                <w:szCs w:val="20"/>
                <w:lang w:eastAsia="ru-RU"/>
              </w:rPr>
              <w:t>стоверной информации о закупке.</w:t>
            </w:r>
          </w:p>
          <w:p w:rsidR="00084E7F" w:rsidRPr="00FB1A89" w:rsidRDefault="00084E7F" w:rsidP="008068F6">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Подмена разъяснений ссылками на документацию о закупке. </w:t>
            </w:r>
          </w:p>
          <w:p w:rsidR="00084E7F" w:rsidRPr="00FB1A89" w:rsidRDefault="00084E7F" w:rsidP="008068F6">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Прямые контакты и переговоры с поставщиком. Изменения документации под конкретного поставщика. Предварительный сговор с участниками закупки. </w:t>
            </w:r>
          </w:p>
          <w:p w:rsidR="00084E7F" w:rsidRPr="00FB1A89" w:rsidRDefault="00084E7F" w:rsidP="008068F6">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Подмена документов в интересах какого-либо участника в обмен на обещанное (полученное) вознаграждение. </w:t>
            </w:r>
          </w:p>
          <w:p w:rsidR="00084E7F" w:rsidRPr="00FB1A89" w:rsidRDefault="00084E7F" w:rsidP="008068F6">
            <w:pPr>
              <w:autoSpaceDE w:val="0"/>
              <w:autoSpaceDN w:val="0"/>
              <w:adjustRightInd w:val="0"/>
              <w:spacing w:after="0" w:line="240" w:lineRule="auto"/>
              <w:jc w:val="both"/>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 xml:space="preserve">Подлог, добавление, изъятие, неприятие заявок на участие в закупках. </w:t>
            </w:r>
          </w:p>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FB1A89">
              <w:rPr>
                <w:rFonts w:ascii="Liberation Serif" w:hAnsi="Liberation Serif" w:cs="Liberation Serif"/>
                <w:sz w:val="20"/>
                <w:szCs w:val="20"/>
                <w:lang w:eastAsia="ru-RU"/>
              </w:rPr>
              <w:t>Участие в голосовании, при наличи</w:t>
            </w:r>
            <w:r>
              <w:rPr>
                <w:rFonts w:ascii="Liberation Serif" w:hAnsi="Liberation Serif" w:cs="Liberation Serif"/>
                <w:sz w:val="20"/>
                <w:szCs w:val="20"/>
                <w:lang w:eastAsia="ru-RU"/>
              </w:rPr>
              <w:t>и</w:t>
            </w:r>
            <w:r w:rsidRPr="00FB1A89">
              <w:rPr>
                <w:rFonts w:ascii="Liberation Serif" w:hAnsi="Liberation Serif" w:cs="Liberation Serif"/>
                <w:sz w:val="20"/>
                <w:szCs w:val="20"/>
                <w:lang w:eastAsia="ru-RU"/>
              </w:rPr>
              <w:t xml:space="preserve"> </w:t>
            </w:r>
            <w:r>
              <w:rPr>
                <w:rFonts w:ascii="Liberation Serif" w:hAnsi="Liberation Serif" w:cs="Liberation Serif"/>
                <w:sz w:val="20"/>
                <w:szCs w:val="20"/>
                <w:lang w:eastAsia="ru-RU"/>
              </w:rPr>
              <w:t>личной заинтересованности</w:t>
            </w:r>
            <w:r>
              <w:t xml:space="preserve"> </w:t>
            </w:r>
            <w:r w:rsidRPr="0008742D">
              <w:rPr>
                <w:rFonts w:ascii="Liberation Serif" w:hAnsi="Liberation Serif" w:cs="Liberation Serif"/>
                <w:sz w:val="20"/>
                <w:szCs w:val="20"/>
                <w:lang w:eastAsia="ru-RU"/>
              </w:rPr>
              <w:t>в результатах определения поста</w:t>
            </w:r>
            <w:r>
              <w:rPr>
                <w:rFonts w:ascii="Liberation Serif" w:hAnsi="Liberation Serif" w:cs="Liberation Serif"/>
                <w:sz w:val="20"/>
                <w:szCs w:val="20"/>
                <w:lang w:eastAsia="ru-RU"/>
              </w:rPr>
              <w:t>вщика (подрядчика, исполнителя)</w:t>
            </w:r>
            <w:r w:rsidRPr="00FB1A89">
              <w:rPr>
                <w:rFonts w:ascii="Liberation Serif" w:hAnsi="Liberation Serif" w:cs="Liberation Serif"/>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spacing w:after="0" w:line="240" w:lineRule="auto"/>
              <w:jc w:val="center"/>
              <w:rPr>
                <w:rFonts w:ascii="Liberation Serif" w:hAnsi="Liberation Serif"/>
                <w:sz w:val="20"/>
                <w:szCs w:val="20"/>
              </w:rPr>
            </w:pPr>
            <w:r w:rsidRPr="003A4CF3">
              <w:rPr>
                <w:rFonts w:ascii="Liberation Serif" w:hAnsi="Liberation Serif"/>
                <w:sz w:val="20"/>
                <w:szCs w:val="20"/>
              </w:rPr>
              <w:t>Постоянно</w:t>
            </w:r>
          </w:p>
        </w:tc>
        <w:tc>
          <w:tcPr>
            <w:tcW w:w="3261"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spacing w:after="0" w:line="240" w:lineRule="auto"/>
              <w:rPr>
                <w:rFonts w:ascii="Liberation Serif" w:hAnsi="Liberation Serif"/>
                <w:sz w:val="20"/>
                <w:szCs w:val="20"/>
              </w:rPr>
            </w:pPr>
            <w:r w:rsidRPr="003A4CF3">
              <w:rPr>
                <w:rFonts w:ascii="Liberation Serif" w:hAnsi="Liberation Serif"/>
                <w:sz w:val="20"/>
                <w:szCs w:val="20"/>
              </w:rPr>
              <w:t>Руководитель контрактной службы (контрактный управляющий).</w:t>
            </w:r>
          </w:p>
          <w:p w:rsidR="00084E7F" w:rsidRPr="003A4CF3" w:rsidRDefault="00084E7F" w:rsidP="008068F6">
            <w:pPr>
              <w:spacing w:after="0" w:line="240" w:lineRule="auto"/>
              <w:rPr>
                <w:rFonts w:ascii="Liberation Serif" w:hAnsi="Liberation Serif"/>
                <w:sz w:val="20"/>
                <w:szCs w:val="20"/>
              </w:rPr>
            </w:pPr>
            <w:r w:rsidRPr="003A4CF3">
              <w:rPr>
                <w:rFonts w:ascii="Liberation Serif" w:hAnsi="Liberation Serif"/>
                <w:sz w:val="20"/>
                <w:szCs w:val="20"/>
              </w:rPr>
              <w:t>Специалисты контрактной службы.</w:t>
            </w:r>
          </w:p>
          <w:p w:rsidR="00084E7F" w:rsidRPr="003A4CF3" w:rsidRDefault="00084E7F" w:rsidP="008068F6">
            <w:pPr>
              <w:spacing w:after="0" w:line="240" w:lineRule="auto"/>
              <w:rPr>
                <w:rFonts w:ascii="Liberation Serif" w:hAnsi="Liberation Serif"/>
                <w:sz w:val="20"/>
                <w:szCs w:val="20"/>
              </w:rPr>
            </w:pPr>
            <w:r w:rsidRPr="003A4CF3">
              <w:rPr>
                <w:rFonts w:ascii="Liberation Serif" w:hAnsi="Liberation Serif"/>
                <w:sz w:val="20"/>
                <w:szCs w:val="20"/>
              </w:rPr>
              <w:t>Уполномоченный орган.</w:t>
            </w:r>
          </w:p>
          <w:p w:rsidR="00084E7F" w:rsidRPr="003A4CF3" w:rsidRDefault="00084E7F" w:rsidP="008068F6">
            <w:pPr>
              <w:spacing w:after="0" w:line="240" w:lineRule="auto"/>
              <w:rPr>
                <w:rFonts w:ascii="Liberation Serif" w:hAnsi="Liberation Serif"/>
                <w:sz w:val="20"/>
                <w:szCs w:val="20"/>
              </w:rPr>
            </w:pPr>
            <w:r w:rsidRPr="003A4CF3">
              <w:rPr>
                <w:rFonts w:ascii="Liberation Serif" w:hAnsi="Liberation Serif"/>
                <w:sz w:val="20"/>
                <w:szCs w:val="20"/>
              </w:rPr>
              <w:t>Единая комиссия заказчика.</w:t>
            </w:r>
          </w:p>
        </w:tc>
        <w:tc>
          <w:tcPr>
            <w:tcW w:w="2126"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spacing w:after="0" w:line="240" w:lineRule="auto"/>
              <w:rPr>
                <w:rFonts w:ascii="Liberation Serif" w:hAnsi="Liberation Serif"/>
                <w:sz w:val="20"/>
                <w:szCs w:val="20"/>
              </w:rPr>
            </w:pPr>
            <w:r w:rsidRPr="003A4CF3">
              <w:rPr>
                <w:rFonts w:ascii="Liberation Serif" w:hAnsi="Liberation Serif"/>
                <w:sz w:val="20"/>
                <w:szCs w:val="20"/>
              </w:rPr>
              <w:t>Минимизация коррупционных рисков</w:t>
            </w:r>
          </w:p>
        </w:tc>
      </w:tr>
      <w:tr w:rsidR="00084E7F" w:rsidRPr="003A4CF3" w:rsidTr="00FE7975">
        <w:tc>
          <w:tcPr>
            <w:tcW w:w="624"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lastRenderedPageBreak/>
              <w:t>7.</w:t>
            </w:r>
          </w:p>
        </w:tc>
        <w:tc>
          <w:tcPr>
            <w:tcW w:w="2840" w:type="dxa"/>
            <w:tcBorders>
              <w:top w:val="single" w:sz="4" w:space="0" w:color="auto"/>
              <w:left w:val="single" w:sz="4" w:space="0" w:color="auto"/>
              <w:bottom w:val="single" w:sz="4" w:space="0" w:color="auto"/>
              <w:right w:val="single" w:sz="4" w:space="0" w:color="auto"/>
            </w:tcBorders>
          </w:tcPr>
          <w:p w:rsidR="00084E7F" w:rsidRDefault="00084E7F" w:rsidP="008068F6">
            <w:pPr>
              <w:autoSpaceDE w:val="0"/>
              <w:autoSpaceDN w:val="0"/>
              <w:adjustRightInd w:val="0"/>
              <w:spacing w:after="0" w:line="240" w:lineRule="auto"/>
              <w:jc w:val="both"/>
              <w:rPr>
                <w:rFonts w:ascii="Liberation Serif" w:hAnsi="Liberation Serif" w:cs="Liberation Serif"/>
                <w:sz w:val="20"/>
                <w:szCs w:val="20"/>
                <w:lang w:eastAsia="ru-RU"/>
              </w:rPr>
            </w:pPr>
            <w:r w:rsidRPr="00D43E81">
              <w:rPr>
                <w:rFonts w:ascii="Liberation Serif" w:hAnsi="Liberation Serif" w:cs="Liberation Serif"/>
                <w:sz w:val="20"/>
                <w:szCs w:val="20"/>
                <w:lang w:eastAsia="ru-RU"/>
              </w:rPr>
              <w:t xml:space="preserve">Недопущение неправомерного (необоснованного) отказа </w:t>
            </w:r>
            <w:r>
              <w:rPr>
                <w:rFonts w:ascii="Liberation Serif" w:hAnsi="Liberation Serif" w:cs="Liberation Serif"/>
                <w:sz w:val="20"/>
                <w:szCs w:val="20"/>
                <w:lang w:eastAsia="ru-RU"/>
              </w:rPr>
              <w:t>заказчика</w:t>
            </w:r>
            <w:r w:rsidRPr="00D43E81">
              <w:rPr>
                <w:rFonts w:ascii="Liberation Serif" w:hAnsi="Liberation Serif" w:cs="Liberation Serif"/>
                <w:sz w:val="20"/>
                <w:szCs w:val="20"/>
                <w:lang w:eastAsia="ru-RU"/>
              </w:rPr>
              <w:t xml:space="preserve"> от заключения контракта. </w:t>
            </w:r>
          </w:p>
          <w:p w:rsidR="00084E7F" w:rsidRPr="00FB1A89" w:rsidRDefault="00084E7F" w:rsidP="008068F6">
            <w:pPr>
              <w:autoSpaceDE w:val="0"/>
              <w:autoSpaceDN w:val="0"/>
              <w:adjustRightInd w:val="0"/>
              <w:spacing w:after="0" w:line="240" w:lineRule="auto"/>
              <w:jc w:val="both"/>
              <w:rPr>
                <w:rFonts w:ascii="Liberation Serif" w:hAnsi="Liberation Serif" w:cs="Liberation Serif"/>
                <w:sz w:val="20"/>
                <w:szCs w:val="20"/>
                <w:lang w:eastAsia="ru-RU"/>
              </w:rPr>
            </w:pPr>
            <w:r w:rsidRPr="00D43E81">
              <w:rPr>
                <w:rFonts w:ascii="Liberation Serif" w:hAnsi="Liberation Serif" w:cs="Liberation Serif"/>
                <w:sz w:val="20"/>
                <w:szCs w:val="20"/>
                <w:lang w:eastAsia="ru-RU"/>
              </w:rPr>
              <w:t>Ознакомление лиц, участвующих в осуществлении закупки с нормативными правовыми актами, регулирующими вопросы профилактики и противодействия коррупции, а также информирование о мерах юридической ответственности за совершение коррупционных правонарушений.</w:t>
            </w:r>
          </w:p>
        </w:tc>
        <w:tc>
          <w:tcPr>
            <w:tcW w:w="3969"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 xml:space="preserve">Необоснованные изменения условий контракта. Затягивание (ускорение) заключения контракта. </w:t>
            </w:r>
          </w:p>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 xml:space="preserve">Запрос недопустимых или необъявленных документов и сведений при заключении контракта. </w:t>
            </w:r>
          </w:p>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Необоснованный отказ от заключения контракта.</w:t>
            </w:r>
          </w:p>
        </w:tc>
        <w:tc>
          <w:tcPr>
            <w:tcW w:w="1701"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spacing w:after="0" w:line="240" w:lineRule="auto"/>
              <w:jc w:val="center"/>
              <w:rPr>
                <w:rFonts w:ascii="Liberation Serif" w:hAnsi="Liberation Serif"/>
                <w:sz w:val="20"/>
                <w:szCs w:val="20"/>
              </w:rPr>
            </w:pPr>
            <w:r w:rsidRPr="003A4CF3">
              <w:rPr>
                <w:rFonts w:ascii="Liberation Serif" w:hAnsi="Liberation Serif"/>
                <w:sz w:val="20"/>
                <w:szCs w:val="20"/>
              </w:rPr>
              <w:t>Постоянно</w:t>
            </w:r>
          </w:p>
        </w:tc>
        <w:tc>
          <w:tcPr>
            <w:tcW w:w="3261"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spacing w:after="0" w:line="240" w:lineRule="auto"/>
              <w:rPr>
                <w:rFonts w:ascii="Liberation Serif" w:hAnsi="Liberation Serif"/>
                <w:sz w:val="20"/>
                <w:szCs w:val="20"/>
              </w:rPr>
            </w:pPr>
            <w:r w:rsidRPr="003A4CF3">
              <w:rPr>
                <w:rFonts w:ascii="Liberation Serif" w:hAnsi="Liberation Serif"/>
                <w:sz w:val="20"/>
                <w:szCs w:val="20"/>
              </w:rPr>
              <w:t>Руководитель контрактной службы (контрактный управляющий).</w:t>
            </w:r>
          </w:p>
          <w:p w:rsidR="00084E7F" w:rsidRPr="003A4CF3" w:rsidRDefault="00084E7F" w:rsidP="008068F6">
            <w:pPr>
              <w:spacing w:after="0" w:line="240" w:lineRule="auto"/>
              <w:rPr>
                <w:rFonts w:ascii="Liberation Serif" w:hAnsi="Liberation Serif"/>
                <w:sz w:val="20"/>
                <w:szCs w:val="20"/>
              </w:rPr>
            </w:pPr>
            <w:r w:rsidRPr="003A4CF3">
              <w:rPr>
                <w:rFonts w:ascii="Liberation Serif" w:hAnsi="Liberation Serif"/>
                <w:sz w:val="20"/>
                <w:szCs w:val="20"/>
              </w:rPr>
              <w:t>Специалисты, отвечающие за разработку технического задания (описания объекта закупки).</w:t>
            </w:r>
          </w:p>
        </w:tc>
        <w:tc>
          <w:tcPr>
            <w:tcW w:w="2126"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spacing w:after="0" w:line="240" w:lineRule="auto"/>
              <w:rPr>
                <w:rFonts w:ascii="Liberation Serif" w:hAnsi="Liberation Serif"/>
                <w:sz w:val="20"/>
                <w:szCs w:val="20"/>
              </w:rPr>
            </w:pPr>
            <w:r w:rsidRPr="003A4CF3">
              <w:rPr>
                <w:rFonts w:ascii="Liberation Serif" w:hAnsi="Liberation Serif"/>
                <w:sz w:val="20"/>
                <w:szCs w:val="20"/>
              </w:rPr>
              <w:t>Минимизация коррупционных рисков</w:t>
            </w:r>
          </w:p>
        </w:tc>
      </w:tr>
      <w:tr w:rsidR="00084E7F" w:rsidRPr="003A4CF3" w:rsidTr="00FE7975">
        <w:tc>
          <w:tcPr>
            <w:tcW w:w="624"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Pr>
                <w:rFonts w:ascii="Liberation Serif" w:hAnsi="Liberation Serif" w:cs="Liberation Serif"/>
                <w:sz w:val="20"/>
                <w:szCs w:val="20"/>
                <w:lang w:eastAsia="ru-RU"/>
              </w:rPr>
              <w:t>8.</w:t>
            </w:r>
          </w:p>
        </w:tc>
        <w:tc>
          <w:tcPr>
            <w:tcW w:w="2840"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Привлечение экспертов к проведению проверки предоставленных поставщиком результатов, предусмотренных контрактом. Комиссионный прием результатов выполненных работ (поставленных товаров, оказанных услуг).</w:t>
            </w:r>
          </w:p>
        </w:tc>
        <w:tc>
          <w:tcPr>
            <w:tcW w:w="3969"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 xml:space="preserve">Умышленное, неправомерное нарушение установленных муниципальным контрактом сроков приемки поставленных товаров, выполненных работ, оказанных услуг и подлог результатов приемки. Необоснованно жесткие (мягкие) или необъявленные условия приемки продукции по контракту. </w:t>
            </w:r>
          </w:p>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 xml:space="preserve">Подписание актов приемки поставленных товаров, выполненных работ, оказанных услуг с нарушением требований муниципального контракта. </w:t>
            </w:r>
          </w:p>
          <w:p w:rsidR="00084E7F" w:rsidRPr="003A4CF3" w:rsidRDefault="00084E7F" w:rsidP="008068F6">
            <w:pPr>
              <w:autoSpaceDE w:val="0"/>
              <w:autoSpaceDN w:val="0"/>
              <w:adjustRightInd w:val="0"/>
              <w:spacing w:after="0" w:line="240" w:lineRule="auto"/>
              <w:rPr>
                <w:rFonts w:ascii="Liberation Serif" w:hAnsi="Liberation Serif" w:cs="Liberation Serif"/>
                <w:sz w:val="20"/>
                <w:szCs w:val="20"/>
                <w:lang w:eastAsia="ru-RU"/>
              </w:rPr>
            </w:pPr>
            <w:r w:rsidRPr="003A4CF3">
              <w:rPr>
                <w:rFonts w:ascii="Liberation Serif" w:hAnsi="Liberation Serif" w:cs="Liberation Serif"/>
                <w:sz w:val="20"/>
                <w:szCs w:val="20"/>
                <w:lang w:eastAsia="ru-RU"/>
              </w:rPr>
              <w:t>Необоснованное отсутствие контроля над исполнением гарантий или игнорирование гарантийного периода.</w:t>
            </w:r>
          </w:p>
        </w:tc>
        <w:tc>
          <w:tcPr>
            <w:tcW w:w="1701"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spacing w:after="0" w:line="240" w:lineRule="auto"/>
              <w:jc w:val="center"/>
              <w:rPr>
                <w:rFonts w:ascii="Liberation Serif" w:hAnsi="Liberation Serif"/>
                <w:sz w:val="20"/>
                <w:szCs w:val="20"/>
              </w:rPr>
            </w:pPr>
            <w:r w:rsidRPr="003A4CF3">
              <w:rPr>
                <w:rFonts w:ascii="Liberation Serif" w:hAnsi="Liberation Serif"/>
                <w:sz w:val="20"/>
                <w:szCs w:val="20"/>
              </w:rPr>
              <w:t>Постоянно</w:t>
            </w:r>
          </w:p>
        </w:tc>
        <w:tc>
          <w:tcPr>
            <w:tcW w:w="3261"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spacing w:after="0" w:line="240" w:lineRule="auto"/>
              <w:rPr>
                <w:rFonts w:ascii="Liberation Serif" w:hAnsi="Liberation Serif"/>
                <w:sz w:val="20"/>
                <w:szCs w:val="20"/>
              </w:rPr>
            </w:pPr>
            <w:r w:rsidRPr="003A4CF3">
              <w:rPr>
                <w:rFonts w:ascii="Liberation Serif" w:hAnsi="Liberation Serif"/>
                <w:sz w:val="20"/>
                <w:szCs w:val="20"/>
              </w:rPr>
              <w:t>Руководитель контрактной службы (контрактный управляющий).</w:t>
            </w:r>
          </w:p>
          <w:p w:rsidR="00084E7F" w:rsidRPr="003A4CF3" w:rsidRDefault="00084E7F" w:rsidP="008068F6">
            <w:pPr>
              <w:spacing w:after="0" w:line="240" w:lineRule="auto"/>
              <w:rPr>
                <w:rFonts w:ascii="Liberation Serif" w:hAnsi="Liberation Serif"/>
                <w:sz w:val="20"/>
                <w:szCs w:val="20"/>
              </w:rPr>
            </w:pPr>
            <w:r w:rsidRPr="003A4CF3">
              <w:rPr>
                <w:rFonts w:ascii="Liberation Serif" w:hAnsi="Liberation Serif"/>
                <w:sz w:val="20"/>
                <w:szCs w:val="20"/>
              </w:rPr>
              <w:t>Специалисты, отвечающие за разработку технического задания (описания объекта закупки).</w:t>
            </w:r>
          </w:p>
          <w:p w:rsidR="00084E7F" w:rsidRPr="003A4CF3" w:rsidRDefault="00084E7F" w:rsidP="008068F6">
            <w:pPr>
              <w:spacing w:after="0" w:line="240" w:lineRule="auto"/>
              <w:rPr>
                <w:rFonts w:ascii="Liberation Serif" w:hAnsi="Liberation Serif"/>
                <w:sz w:val="20"/>
                <w:szCs w:val="20"/>
              </w:rPr>
            </w:pPr>
            <w:r w:rsidRPr="003A4CF3">
              <w:rPr>
                <w:rFonts w:ascii="Liberation Serif" w:hAnsi="Liberation Serif"/>
                <w:sz w:val="20"/>
                <w:szCs w:val="20"/>
              </w:rPr>
              <w:t>Технические заказчики.</w:t>
            </w:r>
          </w:p>
        </w:tc>
        <w:tc>
          <w:tcPr>
            <w:tcW w:w="2126" w:type="dxa"/>
            <w:tcBorders>
              <w:top w:val="single" w:sz="4" w:space="0" w:color="auto"/>
              <w:left w:val="single" w:sz="4" w:space="0" w:color="auto"/>
              <w:bottom w:val="single" w:sz="4" w:space="0" w:color="auto"/>
              <w:right w:val="single" w:sz="4" w:space="0" w:color="auto"/>
            </w:tcBorders>
          </w:tcPr>
          <w:p w:rsidR="00084E7F" w:rsidRPr="003A4CF3" w:rsidRDefault="00084E7F" w:rsidP="008068F6">
            <w:pPr>
              <w:spacing w:after="0" w:line="240" w:lineRule="auto"/>
              <w:rPr>
                <w:rFonts w:ascii="Liberation Serif" w:hAnsi="Liberation Serif"/>
                <w:sz w:val="20"/>
                <w:szCs w:val="20"/>
              </w:rPr>
            </w:pPr>
            <w:r w:rsidRPr="003A4CF3">
              <w:rPr>
                <w:rFonts w:ascii="Liberation Serif" w:hAnsi="Liberation Serif"/>
                <w:sz w:val="20"/>
                <w:szCs w:val="20"/>
              </w:rPr>
              <w:t>Минимизация коррупционных рисков</w:t>
            </w:r>
          </w:p>
        </w:tc>
      </w:tr>
    </w:tbl>
    <w:p w:rsidR="00DB2968" w:rsidRPr="003A4CF3" w:rsidRDefault="00DB2968" w:rsidP="00DB2968">
      <w:pPr>
        <w:tabs>
          <w:tab w:val="left" w:pos="3502"/>
        </w:tabs>
        <w:rPr>
          <w:rFonts w:ascii="Liberation Serif" w:hAnsi="Liberation Serif"/>
          <w:sz w:val="20"/>
          <w:szCs w:val="20"/>
          <w:lang w:eastAsia="ru-RU"/>
        </w:rPr>
      </w:pPr>
    </w:p>
    <w:p w:rsidR="005A65B9" w:rsidRDefault="005A65B9"/>
    <w:sectPr w:rsidR="005A65B9" w:rsidSect="00DB2968">
      <w:headerReference w:type="default" r:id="rId7"/>
      <w:pgSz w:w="16838" w:h="11906" w:orient="landscape"/>
      <w:pgMar w:top="1701" w:right="1134" w:bottom="850" w:left="1134"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3B9" w:rsidRDefault="008663B9" w:rsidP="00DB2968">
      <w:pPr>
        <w:spacing w:after="0" w:line="240" w:lineRule="auto"/>
      </w:pPr>
      <w:r>
        <w:separator/>
      </w:r>
    </w:p>
  </w:endnote>
  <w:endnote w:type="continuationSeparator" w:id="0">
    <w:p w:rsidR="008663B9" w:rsidRDefault="008663B9" w:rsidP="00DB2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3B9" w:rsidRDefault="008663B9" w:rsidP="00DB2968">
      <w:pPr>
        <w:spacing w:after="0" w:line="240" w:lineRule="auto"/>
      </w:pPr>
      <w:r>
        <w:separator/>
      </w:r>
    </w:p>
  </w:footnote>
  <w:footnote w:type="continuationSeparator" w:id="0">
    <w:p w:rsidR="008663B9" w:rsidRDefault="008663B9" w:rsidP="00DB29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7656457"/>
      <w:docPartObj>
        <w:docPartGallery w:val="Page Numbers (Top of Page)"/>
        <w:docPartUnique/>
      </w:docPartObj>
    </w:sdtPr>
    <w:sdtEndPr/>
    <w:sdtContent>
      <w:p w:rsidR="00DB2968" w:rsidRDefault="00DB2968">
        <w:pPr>
          <w:pStyle w:val="a3"/>
          <w:jc w:val="center"/>
        </w:pPr>
        <w:r w:rsidRPr="00DB2968">
          <w:rPr>
            <w:sz w:val="20"/>
            <w:szCs w:val="20"/>
          </w:rPr>
          <w:fldChar w:fldCharType="begin"/>
        </w:r>
        <w:r w:rsidRPr="00DB2968">
          <w:rPr>
            <w:sz w:val="20"/>
            <w:szCs w:val="20"/>
          </w:rPr>
          <w:instrText>PAGE   \* MERGEFORMAT</w:instrText>
        </w:r>
        <w:r w:rsidRPr="00DB2968">
          <w:rPr>
            <w:sz w:val="20"/>
            <w:szCs w:val="20"/>
          </w:rPr>
          <w:fldChar w:fldCharType="separate"/>
        </w:r>
        <w:r w:rsidR="0014681D">
          <w:rPr>
            <w:noProof/>
            <w:sz w:val="20"/>
            <w:szCs w:val="20"/>
          </w:rPr>
          <w:t>4</w:t>
        </w:r>
        <w:r w:rsidRPr="00DB2968">
          <w:rPr>
            <w:sz w:val="20"/>
            <w:szCs w:val="20"/>
          </w:rPr>
          <w:fldChar w:fldCharType="end"/>
        </w:r>
      </w:p>
    </w:sdtContent>
  </w:sdt>
  <w:p w:rsidR="00DB2968" w:rsidRDefault="00DB296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DE3"/>
    <w:rsid w:val="00084E7F"/>
    <w:rsid w:val="0014681D"/>
    <w:rsid w:val="002A0459"/>
    <w:rsid w:val="005A65B9"/>
    <w:rsid w:val="008068F6"/>
    <w:rsid w:val="008663B9"/>
    <w:rsid w:val="00980FF9"/>
    <w:rsid w:val="009A4AE8"/>
    <w:rsid w:val="009A5A02"/>
    <w:rsid w:val="00A14DE3"/>
    <w:rsid w:val="00CE3D08"/>
    <w:rsid w:val="00DB2968"/>
    <w:rsid w:val="00E32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968"/>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296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B2968"/>
    <w:rPr>
      <w:rFonts w:ascii="Times New Roman" w:eastAsia="Calibri" w:hAnsi="Times New Roman" w:cs="Times New Roman"/>
      <w:sz w:val="28"/>
      <w:szCs w:val="28"/>
    </w:rPr>
  </w:style>
  <w:style w:type="paragraph" w:styleId="a5">
    <w:name w:val="footer"/>
    <w:basedOn w:val="a"/>
    <w:link w:val="a6"/>
    <w:uiPriority w:val="99"/>
    <w:unhideWhenUsed/>
    <w:rsid w:val="00DB296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B2968"/>
    <w:rPr>
      <w:rFonts w:ascii="Times New Roman" w:eastAsia="Calibri" w:hAnsi="Times New Roman" w:cs="Times New Roman"/>
      <w:sz w:val="28"/>
      <w:szCs w:val="28"/>
    </w:rPr>
  </w:style>
  <w:style w:type="paragraph" w:customStyle="1" w:styleId="ConsPlusNormal">
    <w:name w:val="ConsPlusNormal"/>
    <w:rsid w:val="00084E7F"/>
    <w:pPr>
      <w:widowControl w:val="0"/>
      <w:autoSpaceDE w:val="0"/>
      <w:autoSpaceDN w:val="0"/>
      <w:spacing w:after="0" w:line="240" w:lineRule="auto"/>
    </w:pPr>
    <w:rPr>
      <w:rFonts w:ascii="Calibri" w:eastAsiaTheme="minorEastAsia" w:hAnsi="Calibri" w:cs="Calibri"/>
      <w:lang w:eastAsia="ru-RU"/>
    </w:rPr>
  </w:style>
  <w:style w:type="paragraph" w:styleId="a7">
    <w:name w:val="Balloon Text"/>
    <w:basedOn w:val="a"/>
    <w:link w:val="a8"/>
    <w:uiPriority w:val="99"/>
    <w:semiHidden/>
    <w:unhideWhenUsed/>
    <w:rsid w:val="0014681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4681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968"/>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296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B2968"/>
    <w:rPr>
      <w:rFonts w:ascii="Times New Roman" w:eastAsia="Calibri" w:hAnsi="Times New Roman" w:cs="Times New Roman"/>
      <w:sz w:val="28"/>
      <w:szCs w:val="28"/>
    </w:rPr>
  </w:style>
  <w:style w:type="paragraph" w:styleId="a5">
    <w:name w:val="footer"/>
    <w:basedOn w:val="a"/>
    <w:link w:val="a6"/>
    <w:uiPriority w:val="99"/>
    <w:unhideWhenUsed/>
    <w:rsid w:val="00DB296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B2968"/>
    <w:rPr>
      <w:rFonts w:ascii="Times New Roman" w:eastAsia="Calibri" w:hAnsi="Times New Roman" w:cs="Times New Roman"/>
      <w:sz w:val="28"/>
      <w:szCs w:val="28"/>
    </w:rPr>
  </w:style>
  <w:style w:type="paragraph" w:customStyle="1" w:styleId="ConsPlusNormal">
    <w:name w:val="ConsPlusNormal"/>
    <w:rsid w:val="00084E7F"/>
    <w:pPr>
      <w:widowControl w:val="0"/>
      <w:autoSpaceDE w:val="0"/>
      <w:autoSpaceDN w:val="0"/>
      <w:spacing w:after="0" w:line="240" w:lineRule="auto"/>
    </w:pPr>
    <w:rPr>
      <w:rFonts w:ascii="Calibri" w:eastAsiaTheme="minorEastAsia" w:hAnsi="Calibri" w:cs="Calibri"/>
      <w:lang w:eastAsia="ru-RU"/>
    </w:rPr>
  </w:style>
  <w:style w:type="paragraph" w:styleId="a7">
    <w:name w:val="Balloon Text"/>
    <w:basedOn w:val="a"/>
    <w:link w:val="a8"/>
    <w:uiPriority w:val="99"/>
    <w:semiHidden/>
    <w:unhideWhenUsed/>
    <w:rsid w:val="0014681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4681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1112</Words>
  <Characters>6344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Настя</cp:lastModifiedBy>
  <cp:revision>4</cp:revision>
  <cp:lastPrinted>2023-01-31T05:44:00Z</cp:lastPrinted>
  <dcterms:created xsi:type="dcterms:W3CDTF">2023-01-26T07:28:00Z</dcterms:created>
  <dcterms:modified xsi:type="dcterms:W3CDTF">2023-01-31T05:44:00Z</dcterms:modified>
</cp:coreProperties>
</file>